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  <w:jc w:val="center"/>
      </w:pPr>
      <w:r>
        <w:rPr>
          <w:rFonts w:ascii="Calibri" w:cs="Calibri" w:eastAsia="Calibri" w:hAnsi="Calibri"/>
          <w:b/>
          <w:bCs/>
          <w:color w:val="0F766E"/>
          <w:sz w:val="56"/>
          <w:szCs w:val="56"/>
        </w:rPr>
        <w:t xml:space="preserve">Scott C. Harris, PhD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scott.harrisphd@gmail.com</w:t>
      </w:r>
      <w:r>
        <w:rPr>
          <w:rFonts w:ascii="Calibri" w:cs="Calibri" w:eastAsia="Calibri" w:hAnsi="Calibri"/>
          <w:color w:val="AAAAAA"/>
          <w:sz w:val="20"/>
          <w:szCs w:val="20"/>
        </w:rPr>
        <w:t xml:space="preserve">  | 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San Francisco, CA</w:t>
      </w:r>
    </w:p>
    <w:p>
      <w:pPr>
        <w:spacing w:after="200"/>
        <w:jc w:val="center"/>
      </w:pPr>
      <w:r>
        <w:rPr>
          <w:rFonts w:ascii="Calibri" w:cs="Calibri" w:eastAsia="Calibri" w:hAnsi="Calibri"/>
          <w:color w:val="0F766E"/>
          <w:sz w:val="18"/>
          <w:szCs w:val="18"/>
        </w:rPr>
        <w:t xml:space="preserve">linkedin.com/in/scott-harris-phd</w:t>
      </w:r>
      <w:r>
        <w:rPr>
          <w:rFonts w:ascii="Calibri" w:cs="Calibri" w:eastAsia="Calibri" w:hAnsi="Calibri"/>
          <w:color w:val="AAAAAA"/>
          <w:sz w:val="18"/>
          <w:szCs w:val="18"/>
        </w:rPr>
        <w:t xml:space="preserve">  |  </w:t>
      </w:r>
      <w:r>
        <w:rPr>
          <w:rFonts w:ascii="Calibri" w:cs="Calibri" w:eastAsia="Calibri" w:hAnsi="Calibri"/>
          <w:color w:val="0F766E"/>
          <w:sz w:val="18"/>
          <w:szCs w:val="18"/>
        </w:rPr>
        <w:t xml:space="preserve">github.com/scottharris17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Education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2018–2024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Ph.D. Neuroscience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University of California, San Francisco (UCSF), San Francisco, CA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Dissertation: A sensorimotor transformation for image-stabilizing eye movements and its implications for disease. Advisor: Dr. Felice Dunn.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2014–2018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B.S. Neuroscience, Philosophy, magna cum laude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Duke University, Durham, NC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Thesis: Development of an optical tool for studying cerebellar dependent sensorimotor associations. Advisor: Dr. Court Hull.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Professional Positions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2025–present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Co-Founder &amp; CTO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Certain Technologies, Inc.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Building proprietary diagnostic software to augment neurodevelopmental diagnoses.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2025–present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Computational Neuroscientist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Eon Systems, PBC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Developed the first multi-behavior brain emulation of an animal using embodied AI. Built physics-constrained, connectome-based brain models that serve as the company's core IP.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2024–2025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Staff Scientist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Department of Ophthalmology, UCSF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Invented a noninvasive diagnostic tool for early detection of brain and eye diseases.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2018–2024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PhD Candidate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Neuroscience Graduate Program, UCSF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Dissertation: A sensorimotor transformation for image-stabilizing eye movements and its implications for disease. Advisor: Dr. Felice Dunn.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2015–2018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Undergraduate Researcher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Department of Neurobiology, Duke University School of Medicine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Thesis: Development of an optical tool for studying cerebellar dependent sensorimotor associations. Advisor: Dr. Court Hull.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2016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R&amp;D Intern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Neuroscience Department, Genentech Inc.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Characterized safety liabilities associated with Alzheimer's therapeutics using single-cell assays. Advisor: Dr. Jasvinder Atwal.</w:t>
      </w:r>
    </w:p>
    <w:p>
      <w:pPr>
        <w:tabs>
          <w:tab w:val="left" w:pos="9026"/>
        </w:tabs>
        <w:spacing w:after="4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2012–present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Co-Founder and Private Tutor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San Francisco Tutors</w:t>
      </w:r>
    </w:p>
    <w:p>
      <w:pPr>
        <w:spacing w:after="100"/>
        <w:ind w:left="0"/>
      </w:pPr>
      <w:r>
        <w:rPr>
          <w:rFonts w:ascii="Calibri" w:cs="Calibri" w:eastAsia="Calibri" w:hAnsi="Calibri"/>
          <w:color w:val="444444"/>
          <w:sz w:val="19"/>
          <w:szCs w:val="19"/>
        </w:rPr>
        <w:t xml:space="preserve">Founded a freelance tutoring company. Mentored 20+ students.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Things I Have Built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Jelly Psych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AI-native web app for psychological diagnosis.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Agents, Generative AI, Next.js, React, Flask, LLMs, OAuth, AWS, MongoDB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Users see 60% more patients, clinics grow revenue by &gt;$150k/clinician.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Embodied Brain Emulation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Uploaded digital copies of brains into virtual bodies.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Embodied AI, PyTorch, MuJoCo, Reinforcement Learning, Connectomics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First ever multi-behavior brain emulation.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OKR Diagnostics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End-to-end diagnostic for neurodegenerative disease.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VR, Adaptive Optics, Eye Tracking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Diagnoses years faster than existing standard of care.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Bassoon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No-code psychophysics experiments.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PsychoPy, Eye Tracking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Used by labs around the world.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Quale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Visual prosthetic (see with ears).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OpenCV, Computer Vision</w:t>
      </w:r>
    </w:p>
    <w:p>
      <w:pPr>
        <w:spacing w:after="100"/>
      </w:pPr>
      <w:r>
        <w:rPr>
          <w:rFonts w:ascii="Calibri" w:cs="Calibri" w:eastAsia="Calibri" w:hAnsi="Calibri"/>
          <w:color w:val="0F766E"/>
          <w:sz w:val="19"/>
          <w:szCs w:val="19"/>
        </w:rPr>
        <w:t xml:space="preserve">Outcome: Visually-guided behavior in unsighted subjects; Blackstone Grand Prize.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Electrophysiology Pipeline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Analysis pipeline for neuroscience data.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Timeseries analysis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Calibrate Light</w:t>
      </w:r>
      <w:r>
        <w:rPr>
          <w:rFonts w:ascii="Calibri" w:cs="Calibri" w:eastAsia="Calibri" w:hAnsi="Calibri"/>
          <w:color w:val="444444"/>
          <w:sz w:val="19"/>
          <w:szCs w:val="19"/>
        </w:rPr>
        <w:t xml:space="preserve"> — Photoisomerization rates for vision science.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Tools: Matlab, optics, signal detection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Fellowships &amp; Awards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2024–2026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NSF Innovation Corps Grant, Entrepreneurial Lead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Award #2437074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David and Joyce Copenhagen Prize for Best Research in Vision Science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UCSF Department of Ophthalmology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2022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Knights Templar Eye Foundation Travel Grant for ARVO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2021–2024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Ruth L. Kirschstein F31 Fellowship (NIH/NEI)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Award #F31 EY-033225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2021–2024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Kavli Institute for Neuroscience Graduate Student Fellowship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2021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Blackstone Charitable Foundation LaunchPad Ideas Competition, National Grand Prize Winner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Visual prosthetic invention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2020–2023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Moritz-Heyman Discovery Fellowship</w:t>
      </w:r>
      <w:r>
        <w:rPr>
          <w:rFonts w:ascii="Calibri" w:cs="Calibri" w:eastAsia="Calibri" w:hAnsi="Calibri"/>
          <w:color w:val="666666"/>
          <w:sz w:val="20"/>
          <w:szCs w:val="20"/>
        </w:rPr>
        <w:t xml:space="preserve"> — </w:t>
      </w: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UCSF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NSF GRFP Honorable Mention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2017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Duke Institute for Brain Sciences, Summer Neuroscience Program Fellowship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Publications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Harris, S.C., Balraj, A.K., John, J., Wong, J., Wang, Y., Reyes, E.M., Rabiee, R., Roorda, A., Duncan, J., &amp; Dunn, F.A. Identification of a neural pathway with heightened sensitivity to mild neurodegeneration in mice and humans.</w:t>
      </w:r>
      <w:r>
        <w:rPr>
          <w:rFonts w:ascii="Calibri" w:cs="Calibri" w:eastAsia="Calibri" w:hAnsi="Calibri"/>
          <w:i/>
          <w:iCs/>
          <w:color w:val="0F766E"/>
          <w:sz w:val="18"/>
          <w:szCs w:val="18"/>
        </w:rPr>
        <w:t xml:space="preserve"> [In Preparation]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2. </w:t>
      </w:r>
      <w:r>
        <w:rPr>
          <w:rFonts w:ascii="Calibri" w:cs="Calibri" w:eastAsia="Calibri" w:hAnsi="Calibri"/>
          <w:sz w:val="19"/>
          <w:szCs w:val="19"/>
        </w:rPr>
        <w:t xml:space="preserve">Kiraly, J.K., Balraj, A., Leary, P., You, Z., Harris, S.C., Hyer, J.D., ... &amp; Kolodkin, A.L. (2025). Slit2/Robo1 signaling constrains image stabilization responses. Current Biology.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3. </w:t>
      </w:r>
      <w:r>
        <w:rPr>
          <w:rFonts w:ascii="Calibri" w:cs="Calibri" w:eastAsia="Calibri" w:hAnsi="Calibri"/>
          <w:sz w:val="19"/>
          <w:szCs w:val="19"/>
        </w:rPr>
        <w:t xml:space="preserve">Lee, J.Y., Kastner, D.B., Harris, S.C., Santina, L.D., John, J.V., Stone, N.S., &amp; Dunn, F.A. (2025). Partial input loss differentially modifies neural pathways. bioRxiv.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4. </w:t>
      </w:r>
      <w:r>
        <w:rPr>
          <w:rFonts w:ascii="Calibri" w:cs="Calibri" w:eastAsia="Calibri" w:hAnsi="Calibri"/>
          <w:sz w:val="19"/>
          <w:szCs w:val="19"/>
        </w:rPr>
        <w:t xml:space="preserve">Creed, R.B., Harris, S.C., Sridhar, S., du Lac, S., Zee, D.S., Dunn, F.A., ... &amp; Nelson, A.B. (2024). Tau P301S Transgenic Mice Develop Gait and Eye Movement Impairments. bioRxiv.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5. </w:t>
      </w:r>
      <w:r>
        <w:rPr>
          <w:rFonts w:ascii="Calibri" w:cs="Calibri" w:eastAsia="Calibri" w:hAnsi="Calibri"/>
          <w:sz w:val="19"/>
          <w:szCs w:val="19"/>
        </w:rPr>
        <w:t xml:space="preserve">Kiraly, J.K., Harris, S.C., Al-Khindi, T., Dunn, F.A., &amp; Kolodkin, A.L. (2024). PyOKR: A Semi-Automated Method for Quantifying Optokinetic Reflex Tracking Ability. JoVE.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6. </w:t>
      </w:r>
      <w:r>
        <w:rPr>
          <w:rFonts w:ascii="Calibri" w:cs="Calibri" w:eastAsia="Calibri" w:hAnsi="Calibri"/>
          <w:sz w:val="19"/>
          <w:szCs w:val="19"/>
        </w:rPr>
        <w:t xml:space="preserve">Harris, S.C., &amp; Dunn, F.A. (2023). Asymmetric retinal direction tuning predicts optokinetic eye movements across stimulus conditions. eLife, 12:e81780.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7. </w:t>
      </w:r>
      <w:r>
        <w:rPr>
          <w:rFonts w:ascii="Calibri" w:cs="Calibri" w:eastAsia="Calibri" w:hAnsi="Calibri"/>
          <w:sz w:val="19"/>
          <w:szCs w:val="19"/>
        </w:rPr>
        <w:t xml:space="preserve">Della Santina, L., Alfred, K.Y., Harris, S.C., et al. (2021). Disassembly and rewiring of a mature converging excitatory circuit following injury. Cell Reports, 36(5), 109463.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8. </w:t>
      </w:r>
      <w:r>
        <w:rPr>
          <w:rFonts w:ascii="Calibri" w:cs="Calibri" w:eastAsia="Calibri" w:hAnsi="Calibri"/>
          <w:sz w:val="19"/>
          <w:szCs w:val="19"/>
        </w:rPr>
        <w:t xml:space="preserve">Newpher, T.M., Harris, S., Pringle, J., Hamilton, C., &amp; Soderling, S. (2018). Regulation of spine structural plasticity by Arc/Arg3.1. Seminars in Cell &amp; Developmental Biology, 77, 25-32.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Patents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Harris, S.C., Dunn, F.A., John, J.V., Methods for Assessing Optokinetic Reflex and Systems for Same. UCSF-822PRV, filed October 11, 2025.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Invited Talks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 S.C., et al. (2024) Early Signs of Retinal Degeneration. Grand Rounds, UCSF Department of Ophthalmology.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2.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(2024) Direction selectivity and central computation. Copenhagen Award talk, UCSF.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3.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A neurobiological mechanism for image stabilization. Michael Page Research Symposium, UCSF.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4.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Retinal direction tuning predicts gaze stabilizing eye movements. UCSF Neuroscience Retreat, Monterey.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5.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Asymmetries in the vertical optokinetic reflex. ARVO Annual Meeting, Denver.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6.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Retinal direction tuning. Roy Steinberg Lecture, UCSF.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7.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A brainstem model for visual motion processing. UCSF Neuroscience.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8. </w:t>
      </w:r>
      <w:r>
        <w:rPr>
          <w:rFonts w:ascii="Calibri" w:cs="Calibri" w:eastAsia="Calibri" w:hAnsi="Calibri"/>
          <w:sz w:val="19"/>
          <w:szCs w:val="19"/>
        </w:rPr>
        <w:t xml:space="preserve">Harris S.C., Zahler S., &amp; Feinberg E. (2019) Anatomic constraints on orienting circuitry in the superior colliculus. UCSF.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Poster Presentations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1. </w:t>
      </w:r>
      <w:r>
        <w:rPr>
          <w:rFonts w:ascii="Calibri" w:cs="Calibri" w:eastAsia="Calibri" w:hAnsi="Calibri"/>
          <w:sz w:val="19"/>
          <w:szCs w:val="19"/>
        </w:rPr>
        <w:t xml:space="preserve">Harris S.C., et al. (2025) Towards embodied brain emulations. SfN, San Diego.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2. </w:t>
      </w:r>
      <w:r>
        <w:rPr>
          <w:rFonts w:ascii="Calibri" w:cs="Calibri" w:eastAsia="Calibri" w:hAnsi="Calibri"/>
          <w:sz w:val="19"/>
          <w:szCs w:val="19"/>
        </w:rPr>
        <w:t xml:space="preserve">Harris S.C., et al. (2025) Detection of retinal degeneration by measuring reflexive eye movements. ARVO, Salt Lake City.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3.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(2022) Retinal direction tuning predicts gaze stabilizing eye movements. SfN, San Diego.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4. </w:t>
      </w:r>
      <w:r>
        <w:rPr>
          <w:rFonts w:ascii="Calibri" w:cs="Calibri" w:eastAsia="Calibri" w:hAnsi="Calibri"/>
          <w:sz w:val="19"/>
          <w:szCs w:val="19"/>
        </w:rPr>
        <w:t xml:space="preserve">Harris S.C., &amp; Dunn F.A. (2021) Disproportionate excitation. UCSF Retreat.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5. </w:t>
      </w:r>
      <w:r>
        <w:rPr>
          <w:rFonts w:ascii="Calibri" w:cs="Calibri" w:eastAsia="Calibri" w:hAnsi="Calibri"/>
          <w:sz w:val="19"/>
          <w:szCs w:val="19"/>
        </w:rPr>
        <w:t xml:space="preserve">Harris S.C., &amp; Hull C. (2018) Cerebellar-dependent sensorimotor associations. Duke.</w:t>
      </w:r>
    </w:p>
    <w:p>
      <w:pPr>
        <w:spacing w:after="80"/>
        <w:ind w:left="360" w:hanging="360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6. </w:t>
      </w:r>
      <w:r>
        <w:rPr>
          <w:rFonts w:ascii="Calibri" w:cs="Calibri" w:eastAsia="Calibri" w:hAnsi="Calibri"/>
          <w:sz w:val="19"/>
          <w:szCs w:val="19"/>
        </w:rPr>
        <w:t xml:space="preserve">Harris S.C., Wetzel-Smith M.K., &amp; Atwal J.K. (2016) Blood-brain barrier bispecific antibodies. Genentech.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Skills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Scientific: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Computational neuroscience, connectome models, psychophysics, ophthalmology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Quantitative: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Machine learning, LLMs, simulation, computer vision, data science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Programming: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Python, MATLAB, JavaScript, TypeScript, React, full stack development, agentic workflows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Product: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Market discovery, needs-finding, strategic planning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Soft Skills: 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Fundraising, scientific and technical writing, team leadership, public speaking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Teaching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2020–2024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TA, Intro to Computer Programming, UCSF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TA, Organ Systems and Human Pathophysiology, UCSF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2020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Guest Instructor, Lowell High School Science Club</w:t>
      </w:r>
    </w:p>
    <w:p>
      <w:pPr>
        <w:tabs>
          <w:tab w:val="left" w:pos="9026"/>
        </w:tabs>
        <w:spacing w:after="100"/>
      </w:pPr>
      <w:r>
        <w:rPr>
          <w:rFonts w:ascii="Calibri" w:cs="Calibri" w:eastAsia="Calibri" w:hAnsi="Calibri"/>
          <w:color w:val="666666"/>
          <w:sz w:val="20"/>
          <w:szCs w:val="20"/>
        </w:rPr>
        <w:t xml:space="preserve">2012–present</w:t>
      </w:r>
      <w:r>
        <w:rPr>
          <w:rFonts w:ascii="Calibri" w:cs="Calibri" w:eastAsia="Calibri" w:hAnsi="Calibri"/>
          <w:sz w:val="20"/>
          <w:szCs w:val="20"/>
        </w:rPr>
        <w:t xml:space="preserve">    </w:t>
      </w:r>
      <w:r>
        <w:rPr>
          <w:rFonts w:ascii="Calibri" w:cs="Calibri" w:eastAsia="Calibri" w:hAnsi="Calibri"/>
          <w:b/>
          <w:bCs/>
          <w:sz w:val="20"/>
          <w:szCs w:val="20"/>
        </w:rPr>
        <w:t xml:space="preserve">Freelance Private Tutor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Coursework</w:t>
      </w:r>
    </w:p>
    <w:p>
      <w:pPr>
        <w:spacing w:after="100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Neurosciences (30+ courses), statistical methods and modeling, computational methods, deep learning, information theory, linear algebra, organic chemistry, electricity and magnetism, computer science, philosophy of mind, philosophy of science, formal logic</w:t>
      </w:r>
    </w:p>
    <w:p>
      <w:pPr>
        <w:pStyle w:val="Heading1"/>
        <w:pBdr>
          <w:bottom w:val="single" w:color="CCCCCC" w:sz="6"/>
        </w:pBdr>
        <w:spacing w:after="120" w:before="360"/>
      </w:pPr>
      <w:r>
        <w:rPr>
          <w:rFonts w:ascii="Calibri" w:cs="Calibri" w:eastAsia="Calibri" w:hAnsi="Calibri"/>
          <w:b/>
          <w:bCs/>
          <w:color w:val="0F766E"/>
          <w:sz w:val="28"/>
          <w:szCs w:val="28"/>
        </w:rPr>
        <w:t xml:space="preserve">Portfolios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Personal Website: </w:t>
      </w:r>
      <w:r>
        <w:rPr>
          <w:rFonts w:ascii="Calibri" w:cs="Calibri" w:eastAsia="Calibri" w:hAnsi="Calibri"/>
          <w:color w:val="0F766E"/>
          <w:sz w:val="20"/>
          <w:szCs w:val="20"/>
        </w:rPr>
        <w:t xml:space="preserve">https://scottharris.xyz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GitHub: </w:t>
      </w:r>
      <w:r>
        <w:rPr>
          <w:rFonts w:ascii="Calibri" w:cs="Calibri" w:eastAsia="Calibri" w:hAnsi="Calibri"/>
          <w:color w:val="0F766E"/>
          <w:sz w:val="20"/>
          <w:szCs w:val="20"/>
        </w:rPr>
        <w:t xml:space="preserve">https://github.com/scottharris17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LinkedIn: </w:t>
      </w:r>
      <w:r>
        <w:rPr>
          <w:rFonts w:ascii="Calibri" w:cs="Calibri" w:eastAsia="Calibri" w:hAnsi="Calibri"/>
          <w:color w:val="0F766E"/>
          <w:sz w:val="20"/>
          <w:szCs w:val="20"/>
        </w:rPr>
        <w:t xml:space="preserve">https://www.linkedin.com/in/scott-harris-phd/</w:t>
      </w:r>
    </w:p>
    <w:sectPr>
      <w:pgSz w:w="11906" w:h="16838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2026-07-27T01:34:31.111Z</dcterms:created>
  <dcterms:modified xsi:type="dcterms:W3CDTF">2026-07-27T01:34:31.112Z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